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C728" w14:textId="2287DB4E" w:rsidR="00CE0D5E" w:rsidRPr="008B6B94" w:rsidRDefault="00CE0D5E" w:rsidP="008B6B94">
      <w:pPr>
        <w:jc w:val="center"/>
        <w:rPr>
          <w:b/>
          <w:bCs/>
          <w:sz w:val="28"/>
          <w:szCs w:val="28"/>
        </w:rPr>
      </w:pPr>
      <w:r w:rsidRPr="008B6B94">
        <w:rPr>
          <w:b/>
          <w:bCs/>
          <w:sz w:val="28"/>
          <w:szCs w:val="28"/>
        </w:rPr>
        <w:t>GROSS ANNUAL SALARIES OF £100,000 OR MORE</w:t>
      </w:r>
    </w:p>
    <w:p w14:paraId="566CF8DB" w14:textId="77777777" w:rsidR="00CE0D5E" w:rsidRDefault="00CE0D5E"/>
    <w:p w14:paraId="3C4A087F" w14:textId="03211323" w:rsidR="000B76E9" w:rsidRDefault="00CE0D5E" w:rsidP="000B76E9">
      <w:r>
        <w:t xml:space="preserve">In accordance with the </w:t>
      </w:r>
      <w:r w:rsidR="00651BF5">
        <w:t>Academies</w:t>
      </w:r>
      <w:r>
        <w:t xml:space="preserve"> Handbook 202</w:t>
      </w:r>
      <w:r w:rsidR="00861193">
        <w:t>5</w:t>
      </w:r>
      <w:r>
        <w:t xml:space="preserve"> The trust must publish on its website in a separate readily accessible form the number of employees whose benefits exceeded £100k, in £10k bandings, for the previous year ended 31 August. Benefits for this purpose include salary, employers’ pension contributions, other taxable benefits and termination payments.</w:t>
      </w:r>
      <w:r w:rsidR="000B76E9">
        <w:t xml:space="preserve"> The number of employees whose emoluments fell within the following bands at 31/08/2</w:t>
      </w:r>
      <w:r w:rsidR="00861193">
        <w:t>5</w:t>
      </w:r>
      <w:r w:rsidR="000B76E9">
        <w:t xml:space="preserve"> </w:t>
      </w:r>
      <w:r w:rsidR="00A00FBB">
        <w:t>are</w:t>
      </w:r>
      <w:r w:rsidR="000B76E9">
        <w:t xml:space="preserve"> as follows:</w:t>
      </w:r>
    </w:p>
    <w:p w14:paraId="78FCC455" w14:textId="7F34B72A" w:rsidR="00CE0D5E" w:rsidRDefault="00CE0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76E9" w:rsidRPr="008B6B94" w14:paraId="383F620F" w14:textId="77777777" w:rsidTr="000B76E9">
        <w:tc>
          <w:tcPr>
            <w:tcW w:w="4508" w:type="dxa"/>
          </w:tcPr>
          <w:p w14:paraId="74145DEC" w14:textId="666B2173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Banding at 31/08/2</w:t>
            </w:r>
            <w:r w:rsidR="004C21D1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4C64207E" w14:textId="46A62379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Number of Employees</w:t>
            </w:r>
          </w:p>
        </w:tc>
      </w:tr>
      <w:tr w:rsidR="000B76E9" w:rsidRPr="008B6B94" w14:paraId="69069F2D" w14:textId="77777777" w:rsidTr="000B76E9">
        <w:tc>
          <w:tcPr>
            <w:tcW w:w="4508" w:type="dxa"/>
          </w:tcPr>
          <w:p w14:paraId="72A19C95" w14:textId="2269DE90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£100,000 - £110,000</w:t>
            </w:r>
          </w:p>
        </w:tc>
        <w:tc>
          <w:tcPr>
            <w:tcW w:w="4508" w:type="dxa"/>
          </w:tcPr>
          <w:p w14:paraId="3D00F6BE" w14:textId="2A08FF5B" w:rsidR="000B76E9" w:rsidRPr="008B6B94" w:rsidRDefault="0086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76E9" w:rsidRPr="008B6B94" w14:paraId="35486811" w14:textId="77777777" w:rsidTr="000B76E9">
        <w:tc>
          <w:tcPr>
            <w:tcW w:w="4508" w:type="dxa"/>
          </w:tcPr>
          <w:p w14:paraId="3E157E7A" w14:textId="3C0180FA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£110,001 - £120,000</w:t>
            </w:r>
          </w:p>
        </w:tc>
        <w:tc>
          <w:tcPr>
            <w:tcW w:w="4508" w:type="dxa"/>
          </w:tcPr>
          <w:p w14:paraId="59A1F532" w14:textId="76C2436B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  <w:tr w:rsidR="000B76E9" w:rsidRPr="008B6B94" w14:paraId="64DDB960" w14:textId="77777777" w:rsidTr="000B76E9">
        <w:tc>
          <w:tcPr>
            <w:tcW w:w="4508" w:type="dxa"/>
          </w:tcPr>
          <w:p w14:paraId="35CD130B" w14:textId="56D3F007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£120,001 - £130,000</w:t>
            </w:r>
          </w:p>
        </w:tc>
        <w:tc>
          <w:tcPr>
            <w:tcW w:w="4508" w:type="dxa"/>
          </w:tcPr>
          <w:p w14:paraId="17604FAF" w14:textId="15A151D7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  <w:tr w:rsidR="000B76E9" w:rsidRPr="008B6B94" w14:paraId="55046863" w14:textId="77777777" w:rsidTr="000B76E9">
        <w:tc>
          <w:tcPr>
            <w:tcW w:w="4508" w:type="dxa"/>
          </w:tcPr>
          <w:p w14:paraId="291D78AF" w14:textId="29D8AE6A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£130,001 -£140,000</w:t>
            </w:r>
          </w:p>
        </w:tc>
        <w:tc>
          <w:tcPr>
            <w:tcW w:w="4508" w:type="dxa"/>
          </w:tcPr>
          <w:p w14:paraId="6AAB9F1F" w14:textId="27650535" w:rsidR="000B76E9" w:rsidRPr="008B6B94" w:rsidRDefault="0020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76E9" w:rsidRPr="008B6B94" w14:paraId="1BA8EDB9" w14:textId="77777777" w:rsidTr="000B76E9">
        <w:tc>
          <w:tcPr>
            <w:tcW w:w="4508" w:type="dxa"/>
          </w:tcPr>
          <w:p w14:paraId="25258F09" w14:textId="41843CE4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£140,001 - £150,000</w:t>
            </w:r>
          </w:p>
        </w:tc>
        <w:tc>
          <w:tcPr>
            <w:tcW w:w="4508" w:type="dxa"/>
          </w:tcPr>
          <w:p w14:paraId="2CED036B" w14:textId="45FFE974" w:rsidR="000B76E9" w:rsidRPr="008B6B94" w:rsidRDefault="0086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76E9" w:rsidRPr="008B6B94" w14:paraId="2CE02BB7" w14:textId="77777777" w:rsidTr="000B76E9">
        <w:tc>
          <w:tcPr>
            <w:tcW w:w="4508" w:type="dxa"/>
          </w:tcPr>
          <w:p w14:paraId="3AB4A17B" w14:textId="031C181F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£150,001 - £160,000</w:t>
            </w:r>
          </w:p>
        </w:tc>
        <w:tc>
          <w:tcPr>
            <w:tcW w:w="4508" w:type="dxa"/>
          </w:tcPr>
          <w:p w14:paraId="3EA3CC44" w14:textId="2F69BD45" w:rsidR="000B76E9" w:rsidRPr="008B6B94" w:rsidRDefault="0086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76E9" w:rsidRPr="008B6B94" w14:paraId="00CD324F" w14:textId="77777777" w:rsidTr="000B76E9">
        <w:tc>
          <w:tcPr>
            <w:tcW w:w="4508" w:type="dxa"/>
          </w:tcPr>
          <w:p w14:paraId="2EF9CB3F" w14:textId="29C9C965" w:rsidR="000B76E9" w:rsidRPr="008B6B94" w:rsidRDefault="000B76E9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£160,001 - £170</w:t>
            </w:r>
            <w:r w:rsidR="008B6B94" w:rsidRPr="008B6B94">
              <w:rPr>
                <w:sz w:val="28"/>
                <w:szCs w:val="28"/>
              </w:rPr>
              <w:t>,000</w:t>
            </w:r>
          </w:p>
        </w:tc>
        <w:tc>
          <w:tcPr>
            <w:tcW w:w="4508" w:type="dxa"/>
          </w:tcPr>
          <w:p w14:paraId="3FF6F977" w14:textId="64AED756" w:rsidR="000B76E9" w:rsidRPr="008B6B94" w:rsidRDefault="008B6B94">
            <w:pPr>
              <w:rPr>
                <w:sz w:val="28"/>
                <w:szCs w:val="28"/>
              </w:rPr>
            </w:pPr>
            <w:r w:rsidRPr="008B6B94">
              <w:rPr>
                <w:sz w:val="28"/>
                <w:szCs w:val="28"/>
              </w:rPr>
              <w:t>0</w:t>
            </w:r>
          </w:p>
        </w:tc>
      </w:tr>
    </w:tbl>
    <w:p w14:paraId="1D64FB95" w14:textId="77777777" w:rsidR="00CE0D5E" w:rsidRDefault="00CE0D5E"/>
    <w:p w14:paraId="157910B1" w14:textId="77777777" w:rsidR="00CE0D5E" w:rsidRDefault="00CE0D5E"/>
    <w:p w14:paraId="1B8D7145" w14:textId="1C3F1885" w:rsidR="00CE0D5E" w:rsidRDefault="00CE0D5E"/>
    <w:p w14:paraId="3B9C5F7D" w14:textId="031C5362" w:rsidR="00CE0D5E" w:rsidRDefault="00CE0D5E"/>
    <w:sectPr w:rsidR="00CE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5E"/>
    <w:rsid w:val="000B76E9"/>
    <w:rsid w:val="00172C71"/>
    <w:rsid w:val="00202203"/>
    <w:rsid w:val="0038078F"/>
    <w:rsid w:val="004204A0"/>
    <w:rsid w:val="004C21D1"/>
    <w:rsid w:val="00651BF5"/>
    <w:rsid w:val="006C1E4D"/>
    <w:rsid w:val="00761B84"/>
    <w:rsid w:val="00861193"/>
    <w:rsid w:val="008B6B94"/>
    <w:rsid w:val="00912EB0"/>
    <w:rsid w:val="00A00FBB"/>
    <w:rsid w:val="00CE0D5E"/>
    <w:rsid w:val="00D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ECB2"/>
  <w15:chartTrackingRefBased/>
  <w15:docId w15:val="{840677DD-2628-4698-9E76-1C79084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Foulkes</dc:creator>
  <cp:keywords/>
  <dc:description/>
  <cp:lastModifiedBy>David Foulkes</cp:lastModifiedBy>
  <cp:revision>4</cp:revision>
  <cp:lastPrinted>2025-07-08T12:06:00Z</cp:lastPrinted>
  <dcterms:created xsi:type="dcterms:W3CDTF">2025-07-08T12:06:00Z</dcterms:created>
  <dcterms:modified xsi:type="dcterms:W3CDTF">2025-07-08T12:51:00Z</dcterms:modified>
</cp:coreProperties>
</file>